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1BEC3" w14:textId="77777777" w:rsidR="005A22CB" w:rsidRPr="00F34C47" w:rsidRDefault="005A22CB" w:rsidP="00F34C47">
      <w:pPr>
        <w:contextualSpacing/>
        <w:jc w:val="both"/>
        <w:rPr>
          <w:rFonts w:asciiTheme="majorHAnsi" w:hAnsiTheme="majorHAnsi" w:cstheme="majorHAnsi"/>
          <w:sz w:val="24"/>
          <w:szCs w:val="24"/>
        </w:rPr>
      </w:pPr>
      <w:r w:rsidRPr="00F34C47">
        <w:rPr>
          <w:rFonts w:asciiTheme="majorHAnsi" w:hAnsiTheme="majorHAnsi" w:cstheme="majorHAnsi"/>
          <w:sz w:val="24"/>
          <w:szCs w:val="24"/>
        </w:rPr>
        <w:t>Roma</w:t>
      </w:r>
      <w:r w:rsidR="00273885" w:rsidRPr="00F34C47">
        <w:rPr>
          <w:rFonts w:asciiTheme="majorHAnsi" w:hAnsiTheme="majorHAnsi" w:cstheme="majorHAnsi"/>
          <w:sz w:val="24"/>
          <w:szCs w:val="24"/>
        </w:rPr>
        <w:t>,</w:t>
      </w:r>
      <w:r w:rsidR="00F444CC" w:rsidRPr="00F34C47">
        <w:rPr>
          <w:rFonts w:asciiTheme="majorHAnsi" w:hAnsiTheme="majorHAnsi" w:cstheme="majorHAnsi"/>
          <w:sz w:val="24"/>
          <w:szCs w:val="24"/>
        </w:rPr>
        <w:t xml:space="preserve"> </w:t>
      </w:r>
      <w:r w:rsidR="00594428" w:rsidRPr="00F34C47">
        <w:rPr>
          <w:rFonts w:asciiTheme="majorHAnsi" w:hAnsiTheme="majorHAnsi" w:cstheme="majorHAnsi"/>
          <w:sz w:val="24"/>
          <w:szCs w:val="24"/>
        </w:rPr>
        <w:t>3</w:t>
      </w:r>
      <w:r w:rsidR="004912CF" w:rsidRPr="00F34C47">
        <w:rPr>
          <w:rFonts w:asciiTheme="majorHAnsi" w:hAnsiTheme="majorHAnsi" w:cstheme="majorHAnsi"/>
          <w:sz w:val="24"/>
          <w:szCs w:val="24"/>
        </w:rPr>
        <w:t>1</w:t>
      </w:r>
      <w:r w:rsidR="0060558D" w:rsidRPr="00F34C47">
        <w:rPr>
          <w:rFonts w:asciiTheme="majorHAnsi" w:hAnsiTheme="majorHAnsi" w:cstheme="majorHAnsi"/>
          <w:sz w:val="24"/>
          <w:szCs w:val="24"/>
        </w:rPr>
        <w:t xml:space="preserve"> luglio</w:t>
      </w:r>
      <w:r w:rsidRPr="00F34C47">
        <w:rPr>
          <w:rFonts w:asciiTheme="majorHAnsi" w:hAnsiTheme="majorHAnsi" w:cstheme="majorHAnsi"/>
          <w:sz w:val="24"/>
          <w:szCs w:val="24"/>
        </w:rPr>
        <w:t xml:space="preserve"> 202</w:t>
      </w:r>
      <w:r w:rsidR="008519F3" w:rsidRPr="00F34C47">
        <w:rPr>
          <w:rFonts w:asciiTheme="majorHAnsi" w:hAnsiTheme="majorHAnsi" w:cstheme="majorHAnsi"/>
          <w:sz w:val="24"/>
          <w:szCs w:val="24"/>
        </w:rPr>
        <w:t>5</w:t>
      </w:r>
    </w:p>
    <w:p w14:paraId="5D502005" w14:textId="77777777" w:rsidR="008028A9" w:rsidRPr="00F34C47" w:rsidRDefault="00000000" w:rsidP="00F34C47">
      <w:pPr>
        <w:jc w:val="both"/>
        <w:rPr>
          <w:rFonts w:asciiTheme="majorHAnsi" w:hAnsiTheme="majorHAnsi" w:cstheme="majorHAnsi"/>
          <w:sz w:val="24"/>
          <w:szCs w:val="24"/>
        </w:rPr>
      </w:pPr>
      <w:r w:rsidRPr="00F34C47">
        <w:rPr>
          <w:rFonts w:asciiTheme="majorHAnsi" w:hAnsiTheme="majorHAnsi" w:cstheme="majorHAnsi"/>
          <w:sz w:val="24"/>
          <w:szCs w:val="24"/>
        </w:rPr>
        <w:t>(Prot. n. 9-CIR/2025)</w:t>
      </w:r>
    </w:p>
    <w:p w14:paraId="65E95035" w14:textId="55CAE016" w:rsidR="008028A9" w:rsidRPr="00F34C47" w:rsidRDefault="00000000" w:rsidP="00F34C47">
      <w:pPr>
        <w:jc w:val="both"/>
        <w:rPr>
          <w:rFonts w:asciiTheme="majorHAnsi" w:hAnsiTheme="majorHAnsi" w:cstheme="majorHAnsi"/>
          <w:sz w:val="24"/>
          <w:szCs w:val="24"/>
        </w:rPr>
      </w:pPr>
      <w:r w:rsidRPr="00F34C47">
        <w:rPr>
          <w:rFonts w:asciiTheme="majorHAnsi" w:hAnsiTheme="majorHAnsi" w:cstheme="majorHAnsi"/>
          <w:sz w:val="24"/>
          <w:szCs w:val="24"/>
        </w:rPr>
        <w:t xml:space="preserve">             </w:t>
      </w:r>
      <w:r w:rsidR="00D36780" w:rsidRPr="00F34C47">
        <w:rPr>
          <w:rFonts w:asciiTheme="majorHAnsi" w:hAnsiTheme="majorHAnsi" w:cstheme="majorHAnsi"/>
          <w:sz w:val="24"/>
          <w:szCs w:val="24"/>
        </w:rPr>
        <w:tab/>
      </w:r>
      <w:r w:rsidR="00D36780" w:rsidRPr="00F34C47">
        <w:rPr>
          <w:rFonts w:asciiTheme="majorHAnsi" w:hAnsiTheme="majorHAnsi" w:cstheme="majorHAnsi"/>
          <w:sz w:val="24"/>
          <w:szCs w:val="24"/>
        </w:rPr>
        <w:tab/>
      </w:r>
      <w:r w:rsidR="00D36780" w:rsidRPr="00F34C47">
        <w:rPr>
          <w:rFonts w:asciiTheme="majorHAnsi" w:hAnsiTheme="majorHAnsi" w:cstheme="majorHAnsi"/>
          <w:sz w:val="24"/>
          <w:szCs w:val="24"/>
        </w:rPr>
        <w:tab/>
      </w:r>
      <w:r w:rsidR="00D36780" w:rsidRPr="00F34C47">
        <w:rPr>
          <w:rFonts w:asciiTheme="majorHAnsi" w:hAnsiTheme="majorHAnsi" w:cstheme="majorHAnsi"/>
          <w:sz w:val="24"/>
          <w:szCs w:val="24"/>
        </w:rPr>
        <w:tab/>
      </w:r>
      <w:r w:rsidR="00D36780" w:rsidRPr="00F34C47">
        <w:rPr>
          <w:rFonts w:asciiTheme="majorHAnsi" w:hAnsiTheme="majorHAnsi" w:cstheme="majorHAnsi"/>
          <w:sz w:val="24"/>
          <w:szCs w:val="24"/>
        </w:rPr>
        <w:tab/>
      </w:r>
      <w:r w:rsidR="00D36780" w:rsidRPr="00F34C47">
        <w:rPr>
          <w:rFonts w:asciiTheme="majorHAnsi" w:hAnsiTheme="majorHAnsi" w:cstheme="majorHAnsi"/>
          <w:sz w:val="24"/>
          <w:szCs w:val="24"/>
        </w:rPr>
        <w:tab/>
      </w:r>
      <w:r w:rsidRPr="00F34C47">
        <w:rPr>
          <w:rFonts w:asciiTheme="majorHAnsi" w:hAnsiTheme="majorHAnsi" w:cstheme="majorHAnsi"/>
          <w:sz w:val="24"/>
          <w:szCs w:val="24"/>
        </w:rPr>
        <w:t xml:space="preserve">Agli Associati di ANAPA </w:t>
      </w:r>
    </w:p>
    <w:p w14:paraId="42B6ECC7" w14:textId="63038588" w:rsidR="008028A9" w:rsidRDefault="00000000" w:rsidP="00F34C47">
      <w:pPr>
        <w:jc w:val="both"/>
        <w:rPr>
          <w:rFonts w:asciiTheme="majorHAnsi" w:hAnsiTheme="majorHAnsi" w:cstheme="majorHAnsi"/>
          <w:sz w:val="24"/>
          <w:szCs w:val="24"/>
        </w:rPr>
      </w:pPr>
      <w:r w:rsidRPr="00F34C47">
        <w:rPr>
          <w:rFonts w:asciiTheme="majorHAnsi" w:hAnsiTheme="majorHAnsi" w:cstheme="majorHAnsi"/>
          <w:sz w:val="24"/>
          <w:szCs w:val="24"/>
        </w:rPr>
        <w:t xml:space="preserve">  </w:t>
      </w:r>
      <w:r w:rsidR="00D36780" w:rsidRPr="00F34C47">
        <w:rPr>
          <w:rFonts w:asciiTheme="majorHAnsi" w:hAnsiTheme="majorHAnsi" w:cstheme="majorHAnsi"/>
          <w:sz w:val="24"/>
          <w:szCs w:val="24"/>
        </w:rPr>
        <w:tab/>
      </w:r>
      <w:r w:rsidR="00D36780" w:rsidRPr="00F34C47">
        <w:rPr>
          <w:rFonts w:asciiTheme="majorHAnsi" w:hAnsiTheme="majorHAnsi" w:cstheme="majorHAnsi"/>
          <w:sz w:val="24"/>
          <w:szCs w:val="24"/>
        </w:rPr>
        <w:tab/>
      </w:r>
      <w:r w:rsidR="00D36780" w:rsidRPr="00F34C47">
        <w:rPr>
          <w:rFonts w:asciiTheme="majorHAnsi" w:hAnsiTheme="majorHAnsi" w:cstheme="majorHAnsi"/>
          <w:sz w:val="24"/>
          <w:szCs w:val="24"/>
        </w:rPr>
        <w:tab/>
      </w:r>
      <w:r w:rsidR="00D36780" w:rsidRPr="00F34C47">
        <w:rPr>
          <w:rFonts w:asciiTheme="majorHAnsi" w:hAnsiTheme="majorHAnsi" w:cstheme="majorHAnsi"/>
          <w:sz w:val="24"/>
          <w:szCs w:val="24"/>
        </w:rPr>
        <w:tab/>
      </w:r>
      <w:r w:rsidR="00D36780" w:rsidRPr="00F34C47">
        <w:rPr>
          <w:rFonts w:asciiTheme="majorHAnsi" w:hAnsiTheme="majorHAnsi" w:cstheme="majorHAnsi"/>
          <w:sz w:val="24"/>
          <w:szCs w:val="24"/>
        </w:rPr>
        <w:tab/>
      </w:r>
      <w:r w:rsidR="00D36780" w:rsidRPr="00F34C47">
        <w:rPr>
          <w:rFonts w:asciiTheme="majorHAnsi" w:hAnsiTheme="majorHAnsi" w:cstheme="majorHAnsi"/>
          <w:sz w:val="24"/>
          <w:szCs w:val="24"/>
        </w:rPr>
        <w:tab/>
      </w:r>
      <w:r w:rsidR="00D36780" w:rsidRPr="00F34C47">
        <w:rPr>
          <w:rFonts w:asciiTheme="majorHAnsi" w:hAnsiTheme="majorHAnsi" w:cstheme="majorHAnsi"/>
          <w:sz w:val="24"/>
          <w:szCs w:val="24"/>
        </w:rPr>
        <w:tab/>
      </w:r>
      <w:r w:rsidRPr="00F34C47">
        <w:rPr>
          <w:rFonts w:asciiTheme="majorHAnsi" w:hAnsiTheme="majorHAnsi" w:cstheme="majorHAnsi"/>
          <w:sz w:val="24"/>
          <w:szCs w:val="24"/>
        </w:rPr>
        <w:t xml:space="preserve">Ai Presidenti dei Gruppi Aziendali </w:t>
      </w:r>
    </w:p>
    <w:p w14:paraId="70B79DBC" w14:textId="19268E92" w:rsidR="00BE1E3C" w:rsidRPr="00F34C47" w:rsidRDefault="00BE1E3C" w:rsidP="00F34C47">
      <w:pPr>
        <w:jc w:val="both"/>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Agli agenti di assicurazione interessati</w:t>
      </w:r>
    </w:p>
    <w:p w14:paraId="7EA65ADE" w14:textId="79F9A2DC" w:rsidR="008028A9" w:rsidRPr="00F34C47" w:rsidRDefault="00D36780" w:rsidP="00BE1E3C">
      <w:pPr>
        <w:ind w:left="4248" w:firstLine="708"/>
        <w:jc w:val="both"/>
        <w:rPr>
          <w:rFonts w:asciiTheme="majorHAnsi" w:hAnsiTheme="majorHAnsi" w:cstheme="majorHAnsi"/>
          <w:i/>
          <w:iCs/>
          <w:sz w:val="24"/>
          <w:szCs w:val="24"/>
        </w:rPr>
      </w:pPr>
      <w:r w:rsidRPr="00F34C47">
        <w:rPr>
          <w:rFonts w:asciiTheme="majorHAnsi" w:hAnsiTheme="majorHAnsi" w:cstheme="majorHAnsi"/>
          <w:i/>
          <w:iCs/>
          <w:sz w:val="24"/>
          <w:szCs w:val="24"/>
        </w:rPr>
        <w:t xml:space="preserve">Loro sedi </w:t>
      </w:r>
    </w:p>
    <w:p w14:paraId="3B37DDEE" w14:textId="77777777" w:rsidR="00F34C47" w:rsidRDefault="00F34C47" w:rsidP="00F34C47">
      <w:pPr>
        <w:spacing w:after="0"/>
        <w:jc w:val="both"/>
        <w:rPr>
          <w:rFonts w:asciiTheme="majorHAnsi" w:hAnsiTheme="majorHAnsi" w:cstheme="majorHAnsi"/>
          <w:b/>
          <w:bCs/>
          <w:sz w:val="24"/>
          <w:szCs w:val="24"/>
        </w:rPr>
      </w:pPr>
    </w:p>
    <w:p w14:paraId="4EF8E8EA" w14:textId="4D68D8DB" w:rsidR="008028A9" w:rsidRPr="00AA2E3F" w:rsidRDefault="00000000" w:rsidP="00F34C47">
      <w:pPr>
        <w:spacing w:after="0"/>
        <w:jc w:val="both"/>
        <w:rPr>
          <w:rFonts w:asciiTheme="majorHAnsi" w:hAnsiTheme="majorHAnsi" w:cstheme="majorHAnsi"/>
          <w:b/>
          <w:bCs/>
          <w:i/>
          <w:iCs/>
          <w:sz w:val="24"/>
          <w:szCs w:val="24"/>
        </w:rPr>
      </w:pPr>
      <w:r w:rsidRPr="00F34C47">
        <w:rPr>
          <w:rFonts w:asciiTheme="majorHAnsi" w:hAnsiTheme="majorHAnsi" w:cstheme="majorHAnsi"/>
          <w:b/>
          <w:bCs/>
          <w:sz w:val="24"/>
          <w:szCs w:val="24"/>
        </w:rPr>
        <w:t>Oggetto</w:t>
      </w:r>
      <w:r w:rsidR="00F34C47" w:rsidRPr="00F34C47">
        <w:rPr>
          <w:rFonts w:asciiTheme="majorHAnsi" w:hAnsiTheme="majorHAnsi" w:cstheme="majorHAnsi"/>
          <w:b/>
          <w:bCs/>
          <w:sz w:val="24"/>
          <w:szCs w:val="24"/>
        </w:rPr>
        <w:t xml:space="preserve"> </w:t>
      </w:r>
      <w:r w:rsidR="00AA2E3F">
        <w:rPr>
          <w:rFonts w:asciiTheme="majorHAnsi" w:hAnsiTheme="majorHAnsi" w:cstheme="majorHAnsi"/>
          <w:b/>
          <w:bCs/>
          <w:sz w:val="24"/>
          <w:szCs w:val="24"/>
        </w:rPr>
        <w:t>–</w:t>
      </w:r>
      <w:r w:rsidR="001A6820" w:rsidRPr="00F34C47">
        <w:rPr>
          <w:rFonts w:asciiTheme="majorHAnsi" w:hAnsiTheme="majorHAnsi" w:cstheme="majorHAnsi"/>
          <w:b/>
          <w:bCs/>
          <w:sz w:val="24"/>
          <w:szCs w:val="24"/>
        </w:rPr>
        <w:t xml:space="preserve"> </w:t>
      </w:r>
      <w:r w:rsidR="00D36780" w:rsidRPr="00AA2E3F">
        <w:rPr>
          <w:rFonts w:asciiTheme="majorHAnsi" w:hAnsiTheme="majorHAnsi" w:cstheme="majorHAnsi"/>
          <w:b/>
          <w:bCs/>
          <w:i/>
          <w:iCs/>
          <w:sz w:val="24"/>
          <w:szCs w:val="24"/>
          <w:u w:val="single"/>
        </w:rPr>
        <w:t xml:space="preserve">Decontribuzione Sud e Under 36: Sentenza positiva dal Tribunale di Bari </w:t>
      </w:r>
      <w:r w:rsidR="00AA2E3F">
        <w:rPr>
          <w:rFonts w:asciiTheme="majorHAnsi" w:hAnsiTheme="majorHAnsi" w:cstheme="majorHAnsi"/>
          <w:b/>
          <w:bCs/>
          <w:i/>
          <w:iCs/>
          <w:sz w:val="24"/>
          <w:szCs w:val="24"/>
          <w:u w:val="single"/>
        </w:rPr>
        <w:t>e</w:t>
      </w:r>
      <w:r w:rsidR="001A6820" w:rsidRPr="00AA2E3F">
        <w:rPr>
          <w:rFonts w:asciiTheme="majorHAnsi" w:hAnsiTheme="majorHAnsi" w:cstheme="majorHAnsi"/>
          <w:i/>
          <w:iCs/>
          <w:sz w:val="24"/>
          <w:szCs w:val="24"/>
          <w:u w:val="single"/>
        </w:rPr>
        <w:t xml:space="preserve"> </w:t>
      </w:r>
      <w:r w:rsidR="00D36780" w:rsidRPr="00AA2E3F">
        <w:rPr>
          <w:rFonts w:asciiTheme="majorHAnsi" w:hAnsiTheme="majorHAnsi" w:cstheme="majorHAnsi"/>
          <w:b/>
          <w:bCs/>
          <w:i/>
          <w:iCs/>
          <w:sz w:val="24"/>
          <w:szCs w:val="24"/>
          <w:u w:val="single"/>
        </w:rPr>
        <w:t>C</w:t>
      </w:r>
      <w:r w:rsidR="001A6820" w:rsidRPr="00AA2E3F">
        <w:rPr>
          <w:rFonts w:asciiTheme="majorHAnsi" w:hAnsiTheme="majorHAnsi" w:cstheme="majorHAnsi"/>
          <w:b/>
          <w:bCs/>
          <w:i/>
          <w:iCs/>
          <w:sz w:val="24"/>
          <w:szCs w:val="24"/>
          <w:u w:val="single"/>
        </w:rPr>
        <w:t>omunicazioni INPS su nuova classificazione ATECO 2025</w:t>
      </w:r>
    </w:p>
    <w:p w14:paraId="2200094A" w14:textId="77777777" w:rsidR="00F34C47" w:rsidRPr="00F34C47" w:rsidRDefault="00F34C47" w:rsidP="00F34C47">
      <w:pPr>
        <w:spacing w:after="0"/>
        <w:jc w:val="both"/>
        <w:rPr>
          <w:rFonts w:asciiTheme="majorHAnsi" w:hAnsiTheme="majorHAnsi" w:cstheme="majorHAnsi"/>
          <w:sz w:val="24"/>
          <w:szCs w:val="24"/>
        </w:rPr>
      </w:pPr>
    </w:p>
    <w:p w14:paraId="3E0C32FF" w14:textId="77777777" w:rsidR="008028A9" w:rsidRDefault="00000000" w:rsidP="00F34C47">
      <w:pPr>
        <w:spacing w:after="0"/>
        <w:jc w:val="both"/>
        <w:rPr>
          <w:rFonts w:asciiTheme="majorHAnsi" w:hAnsiTheme="majorHAnsi" w:cstheme="majorHAnsi"/>
          <w:i/>
          <w:iCs/>
          <w:sz w:val="24"/>
          <w:szCs w:val="24"/>
        </w:rPr>
      </w:pPr>
      <w:r w:rsidRPr="00F34C47">
        <w:rPr>
          <w:rFonts w:asciiTheme="majorHAnsi" w:hAnsiTheme="majorHAnsi" w:cstheme="majorHAnsi"/>
          <w:i/>
          <w:iCs/>
          <w:sz w:val="24"/>
          <w:szCs w:val="24"/>
        </w:rPr>
        <w:t>Care Colleghe e Cari Colleghi,</w:t>
      </w:r>
    </w:p>
    <w:p w14:paraId="6DC2876C" w14:textId="77777777" w:rsidR="00F34C47" w:rsidRPr="00F34C47" w:rsidRDefault="00F34C47" w:rsidP="00F34C47">
      <w:pPr>
        <w:spacing w:after="0"/>
        <w:jc w:val="both"/>
        <w:rPr>
          <w:rFonts w:asciiTheme="majorHAnsi" w:hAnsiTheme="majorHAnsi" w:cstheme="majorHAnsi"/>
          <w:i/>
          <w:iCs/>
          <w:sz w:val="24"/>
          <w:szCs w:val="24"/>
        </w:rPr>
      </w:pPr>
    </w:p>
    <w:p w14:paraId="14FB5E35" w14:textId="56B87866" w:rsidR="00533B2E" w:rsidRPr="00F34C47" w:rsidRDefault="00000000"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t xml:space="preserve">ANAPA Rete ImpresAgenzia desidera informarvi su un recente sviluppo </w:t>
      </w:r>
      <w:r w:rsidR="006C6AA5" w:rsidRPr="00F34C47">
        <w:rPr>
          <w:rFonts w:asciiTheme="majorHAnsi" w:hAnsiTheme="majorHAnsi" w:cstheme="majorHAnsi"/>
          <w:sz w:val="24"/>
          <w:szCs w:val="24"/>
        </w:rPr>
        <w:t>relativ</w:t>
      </w:r>
      <w:r w:rsidR="00597385">
        <w:rPr>
          <w:rFonts w:asciiTheme="majorHAnsi" w:hAnsiTheme="majorHAnsi" w:cstheme="majorHAnsi"/>
          <w:sz w:val="24"/>
          <w:szCs w:val="24"/>
        </w:rPr>
        <w:t>o</w:t>
      </w:r>
      <w:r w:rsidR="006C6AA5" w:rsidRPr="00F34C47">
        <w:rPr>
          <w:rFonts w:asciiTheme="majorHAnsi" w:hAnsiTheme="majorHAnsi" w:cstheme="majorHAnsi"/>
          <w:sz w:val="24"/>
          <w:szCs w:val="24"/>
        </w:rPr>
        <w:t xml:space="preserve"> </w:t>
      </w:r>
      <w:r w:rsidR="006C6AA5" w:rsidRPr="00BE1E3C">
        <w:rPr>
          <w:rFonts w:asciiTheme="majorHAnsi" w:hAnsiTheme="majorHAnsi" w:cstheme="majorHAnsi"/>
          <w:b/>
          <w:bCs/>
          <w:sz w:val="24"/>
          <w:szCs w:val="24"/>
        </w:rPr>
        <w:t>alla nostra battaglia contro l’ingiusta azione dell’INPS</w:t>
      </w:r>
      <w:r w:rsidR="006C6AA5" w:rsidRPr="00F34C47">
        <w:rPr>
          <w:rFonts w:asciiTheme="majorHAnsi" w:hAnsiTheme="majorHAnsi" w:cstheme="majorHAnsi"/>
          <w:sz w:val="24"/>
          <w:szCs w:val="24"/>
        </w:rPr>
        <w:t xml:space="preserve"> per il riconoscimento della Decontribuzione SUD e UNDER 36, </w:t>
      </w:r>
      <w:r w:rsidRPr="00F34C47">
        <w:rPr>
          <w:rFonts w:asciiTheme="majorHAnsi" w:hAnsiTheme="majorHAnsi" w:cstheme="majorHAnsi"/>
          <w:sz w:val="24"/>
          <w:szCs w:val="24"/>
        </w:rPr>
        <w:t>che sta interessando numerosi agenti assicurativi, in particolare nelle regioni del Sud Italia.</w:t>
      </w:r>
    </w:p>
    <w:p w14:paraId="32635436" w14:textId="77777777" w:rsidR="00F34C47" w:rsidRDefault="00D36780"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br/>
        <w:t xml:space="preserve">Siamo lieti di comunicarvi </w:t>
      </w:r>
      <w:r w:rsidR="006C6AA5" w:rsidRPr="00F34C47">
        <w:rPr>
          <w:rFonts w:asciiTheme="majorHAnsi" w:hAnsiTheme="majorHAnsi" w:cstheme="majorHAnsi"/>
          <w:sz w:val="24"/>
          <w:szCs w:val="24"/>
        </w:rPr>
        <w:t xml:space="preserve">che </w:t>
      </w:r>
      <w:r w:rsidR="006C6AA5" w:rsidRPr="00F34C47">
        <w:rPr>
          <w:rFonts w:asciiTheme="majorHAnsi" w:hAnsiTheme="majorHAnsi" w:cstheme="majorHAnsi"/>
          <w:b/>
          <w:bCs/>
          <w:sz w:val="24"/>
          <w:szCs w:val="24"/>
        </w:rPr>
        <w:t xml:space="preserve">il </w:t>
      </w:r>
      <w:r w:rsidRPr="00F34C47">
        <w:rPr>
          <w:rFonts w:asciiTheme="majorHAnsi" w:hAnsiTheme="majorHAnsi" w:cstheme="majorHAnsi"/>
          <w:b/>
          <w:bCs/>
          <w:sz w:val="24"/>
          <w:szCs w:val="24"/>
        </w:rPr>
        <w:t xml:space="preserve">Tribunale di Bari, con sentenza n. 2368/2025 (RG n. 1535/2024), ha accolto il ricorso di un agente contro l’INPS, </w:t>
      </w:r>
      <w:r w:rsidRPr="00F34C47">
        <w:rPr>
          <w:rFonts w:asciiTheme="majorHAnsi" w:hAnsiTheme="majorHAnsi" w:cstheme="majorHAnsi"/>
          <w:sz w:val="24"/>
          <w:szCs w:val="24"/>
        </w:rPr>
        <w:t xml:space="preserve">disponendo l'annullamento dell’errata comunicazione con codice ATECO non pertinente e </w:t>
      </w:r>
      <w:r w:rsidR="006C6AA5" w:rsidRPr="00F34C47">
        <w:rPr>
          <w:rFonts w:asciiTheme="majorHAnsi" w:hAnsiTheme="majorHAnsi" w:cstheme="majorHAnsi"/>
          <w:sz w:val="24"/>
          <w:szCs w:val="24"/>
        </w:rPr>
        <w:t xml:space="preserve">per di più </w:t>
      </w:r>
      <w:r w:rsidRPr="00F34C47">
        <w:rPr>
          <w:rFonts w:asciiTheme="majorHAnsi" w:hAnsiTheme="majorHAnsi" w:cstheme="majorHAnsi"/>
          <w:sz w:val="24"/>
          <w:szCs w:val="24"/>
        </w:rPr>
        <w:t>condannando l’INPS al pagamento delle spese legali per € 5.600.</w:t>
      </w:r>
    </w:p>
    <w:p w14:paraId="1AA01E6F" w14:textId="06CAF8D1" w:rsidR="00F34C47" w:rsidRDefault="00D36780"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br/>
        <w:t>Tale sentenza rappresenta un precedente significativo e conferma la correttezza delle tesi sostenute da ANAPA a tutela dei colleghi interessati. È disponibile</w:t>
      </w:r>
      <w:r w:rsidR="00BE1E3C">
        <w:rPr>
          <w:rFonts w:asciiTheme="majorHAnsi" w:hAnsiTheme="majorHAnsi" w:cstheme="majorHAnsi"/>
          <w:sz w:val="24"/>
          <w:szCs w:val="24"/>
        </w:rPr>
        <w:t>, su richiesta,</w:t>
      </w:r>
      <w:r w:rsidRPr="00F34C47">
        <w:rPr>
          <w:rFonts w:asciiTheme="majorHAnsi" w:hAnsiTheme="majorHAnsi" w:cstheme="majorHAnsi"/>
          <w:sz w:val="24"/>
          <w:szCs w:val="24"/>
        </w:rPr>
        <w:t xml:space="preserve"> </w:t>
      </w:r>
      <w:r w:rsidR="00BE1E3C">
        <w:rPr>
          <w:rFonts w:asciiTheme="majorHAnsi" w:hAnsiTheme="majorHAnsi" w:cstheme="majorHAnsi"/>
          <w:sz w:val="24"/>
          <w:szCs w:val="24"/>
        </w:rPr>
        <w:t>per tutti gli associati di ANAPA che desiderino</w:t>
      </w:r>
      <w:r w:rsidRPr="00F34C47">
        <w:rPr>
          <w:rFonts w:asciiTheme="majorHAnsi" w:hAnsiTheme="majorHAnsi" w:cstheme="majorHAnsi"/>
          <w:sz w:val="24"/>
          <w:szCs w:val="24"/>
        </w:rPr>
        <w:t xml:space="preserve"> prenderne visione o </w:t>
      </w:r>
      <w:r w:rsidR="00BE1E3C">
        <w:rPr>
          <w:rFonts w:asciiTheme="majorHAnsi" w:hAnsiTheme="majorHAnsi" w:cstheme="majorHAnsi"/>
          <w:sz w:val="24"/>
          <w:szCs w:val="24"/>
        </w:rPr>
        <w:t>utilizzarla</w:t>
      </w:r>
      <w:r w:rsidRPr="00F34C47">
        <w:rPr>
          <w:rFonts w:asciiTheme="majorHAnsi" w:hAnsiTheme="majorHAnsi" w:cstheme="majorHAnsi"/>
          <w:sz w:val="24"/>
          <w:szCs w:val="24"/>
        </w:rPr>
        <w:t xml:space="preserve"> in situazioni analoghe.</w:t>
      </w:r>
    </w:p>
    <w:p w14:paraId="39283482" w14:textId="7E5EEC67" w:rsidR="006C6AA5" w:rsidRDefault="00D36780" w:rsidP="00F34C47">
      <w:pPr>
        <w:spacing w:after="0"/>
        <w:jc w:val="both"/>
        <w:rPr>
          <w:rFonts w:asciiTheme="majorHAnsi" w:hAnsiTheme="majorHAnsi" w:cstheme="majorHAnsi"/>
          <w:b/>
          <w:bCs/>
          <w:sz w:val="24"/>
          <w:szCs w:val="24"/>
        </w:rPr>
      </w:pPr>
      <w:r w:rsidRPr="00F34C47">
        <w:rPr>
          <w:rFonts w:asciiTheme="majorHAnsi" w:hAnsiTheme="majorHAnsi" w:cstheme="majorHAnsi"/>
          <w:sz w:val="24"/>
          <w:szCs w:val="24"/>
        </w:rPr>
        <w:br/>
      </w:r>
      <w:r w:rsidR="006C6AA5" w:rsidRPr="00F34C47">
        <w:rPr>
          <w:rFonts w:asciiTheme="majorHAnsi" w:hAnsiTheme="majorHAnsi" w:cstheme="majorHAnsi"/>
          <w:b/>
          <w:bCs/>
          <w:sz w:val="24"/>
          <w:szCs w:val="24"/>
        </w:rPr>
        <w:t>ANAPA continuerà ad agire su più fronti:</w:t>
      </w:r>
    </w:p>
    <w:p w14:paraId="4D5AF4F8" w14:textId="77777777" w:rsidR="00F34C47" w:rsidRPr="00F34C47" w:rsidRDefault="00F34C47" w:rsidP="00F34C47">
      <w:pPr>
        <w:spacing w:after="0"/>
        <w:jc w:val="both"/>
        <w:rPr>
          <w:rFonts w:asciiTheme="majorHAnsi" w:hAnsiTheme="majorHAnsi" w:cstheme="majorHAnsi"/>
          <w:sz w:val="24"/>
          <w:szCs w:val="24"/>
        </w:rPr>
      </w:pPr>
    </w:p>
    <w:p w14:paraId="567322D0" w14:textId="77777777" w:rsidR="006C6AA5" w:rsidRPr="00F34C47" w:rsidRDefault="006C6AA5"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t>1. Politico-istituzionale, per ottenere una revisione delle attuali direttive e interpretazioni adottate dall’INPS;</w:t>
      </w:r>
    </w:p>
    <w:p w14:paraId="1A0B5943" w14:textId="77777777" w:rsidR="006C6AA5" w:rsidRPr="00F34C47" w:rsidRDefault="006C6AA5"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t>2. Giudiziario, sostenendo i ricorsi promossi da numerosi colleghi contro gli avvisi di pagamento già notificati dall’Istituto;</w:t>
      </w:r>
    </w:p>
    <w:p w14:paraId="406C0EB2" w14:textId="77777777" w:rsidR="006C6AA5" w:rsidRDefault="006C6AA5"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t>3. Tecnico-consulenziale, fornendo supporto mirato agli associati in caso di ricezione di comunicazioni errate o fuorvianti.</w:t>
      </w:r>
    </w:p>
    <w:p w14:paraId="27352AFA" w14:textId="77777777" w:rsidR="001E57D5" w:rsidRPr="00F34C47" w:rsidRDefault="001E57D5" w:rsidP="00F34C47">
      <w:pPr>
        <w:spacing w:after="0"/>
        <w:jc w:val="both"/>
        <w:rPr>
          <w:rFonts w:asciiTheme="majorHAnsi" w:hAnsiTheme="majorHAnsi" w:cstheme="majorHAnsi"/>
          <w:sz w:val="24"/>
          <w:szCs w:val="24"/>
        </w:rPr>
      </w:pPr>
    </w:p>
    <w:p w14:paraId="0C7C94B7" w14:textId="77777777" w:rsidR="006C6AA5" w:rsidRPr="00F34C47" w:rsidRDefault="006C6AA5" w:rsidP="00F34C47">
      <w:pPr>
        <w:spacing w:after="0"/>
        <w:jc w:val="both"/>
        <w:rPr>
          <w:rFonts w:asciiTheme="majorHAnsi" w:hAnsiTheme="majorHAnsi" w:cstheme="majorHAnsi"/>
          <w:sz w:val="24"/>
          <w:szCs w:val="24"/>
        </w:rPr>
      </w:pPr>
      <w:r w:rsidRPr="00F34C47">
        <w:rPr>
          <w:rFonts w:asciiTheme="majorHAnsi" w:hAnsiTheme="majorHAnsi" w:cstheme="majorHAnsi"/>
          <w:b/>
          <w:bCs/>
          <w:sz w:val="24"/>
          <w:szCs w:val="24"/>
        </w:rPr>
        <w:t>ANAPA ribadisce il proprio impegno in questa battaglia difficile ma fondamentale</w:t>
      </w:r>
      <w:r w:rsidRPr="00F34C47">
        <w:rPr>
          <w:rFonts w:asciiTheme="majorHAnsi" w:hAnsiTheme="majorHAnsi" w:cstheme="majorHAnsi"/>
          <w:sz w:val="24"/>
          <w:szCs w:val="24"/>
        </w:rPr>
        <w:t>, che riguarda non solo gli aspetti economici, ma anche la dignità, la giustizia e il riconoscimento professionale della nostra categoria.</w:t>
      </w:r>
    </w:p>
    <w:p w14:paraId="18668209" w14:textId="59BECA06" w:rsidR="008028A9" w:rsidRDefault="006C6AA5"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lastRenderedPageBreak/>
        <w:t xml:space="preserve">Con l’occasione v’informiamo che alcuni colleghi hanno ricevuto, o stanno ricevendo, da parte dell’INPS una comunicazione ufficiale contenente la </w:t>
      </w:r>
      <w:r w:rsidRPr="00F34C47">
        <w:rPr>
          <w:rFonts w:asciiTheme="majorHAnsi" w:hAnsiTheme="majorHAnsi" w:cstheme="majorHAnsi"/>
          <w:b/>
          <w:bCs/>
          <w:sz w:val="24"/>
          <w:szCs w:val="24"/>
        </w:rPr>
        <w:t>nuova attribuzione del codice ATECO 2025</w:t>
      </w:r>
      <w:r w:rsidRPr="00F34C47">
        <w:rPr>
          <w:rFonts w:asciiTheme="majorHAnsi" w:hAnsiTheme="majorHAnsi" w:cstheme="majorHAnsi"/>
          <w:sz w:val="24"/>
          <w:szCs w:val="24"/>
        </w:rPr>
        <w:t>, a seguito della recente riclassificazione predisposta dall’ISTAT.</w:t>
      </w:r>
    </w:p>
    <w:p w14:paraId="4F4FFA22" w14:textId="77777777" w:rsidR="001E57D5" w:rsidRPr="00F34C47" w:rsidRDefault="001E57D5" w:rsidP="00F34C47">
      <w:pPr>
        <w:spacing w:after="0"/>
        <w:jc w:val="both"/>
        <w:rPr>
          <w:rFonts w:asciiTheme="majorHAnsi" w:hAnsiTheme="majorHAnsi" w:cstheme="majorHAnsi"/>
          <w:sz w:val="24"/>
          <w:szCs w:val="24"/>
        </w:rPr>
      </w:pPr>
    </w:p>
    <w:p w14:paraId="2F976252" w14:textId="77777777" w:rsidR="008028A9" w:rsidRDefault="00000000"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t xml:space="preserve">In diversi casi, </w:t>
      </w:r>
      <w:r w:rsidRPr="00F34C47">
        <w:rPr>
          <w:rFonts w:asciiTheme="majorHAnsi" w:hAnsiTheme="majorHAnsi" w:cstheme="majorHAnsi"/>
          <w:b/>
          <w:bCs/>
          <w:sz w:val="24"/>
          <w:szCs w:val="24"/>
        </w:rPr>
        <w:t>è stato erroneamente assegnato il codice 65.20.00 – Riassicurazioni</w:t>
      </w:r>
      <w:r w:rsidRPr="00F34C47">
        <w:rPr>
          <w:rFonts w:asciiTheme="majorHAnsi" w:hAnsiTheme="majorHAnsi" w:cstheme="majorHAnsi"/>
          <w:sz w:val="24"/>
          <w:szCs w:val="24"/>
        </w:rPr>
        <w:t>, con evidenti ripercussioni negative sull’inquadramento previdenziale e, di conseguenza, sulla legittima fruizione degli sgravi contributivi previsti.</w:t>
      </w:r>
    </w:p>
    <w:p w14:paraId="7080CD61" w14:textId="77777777" w:rsidR="001E57D5" w:rsidRPr="00F34C47" w:rsidRDefault="001E57D5" w:rsidP="00F34C47">
      <w:pPr>
        <w:spacing w:after="0"/>
        <w:jc w:val="both"/>
        <w:rPr>
          <w:rFonts w:asciiTheme="majorHAnsi" w:hAnsiTheme="majorHAnsi" w:cstheme="majorHAnsi"/>
          <w:sz w:val="24"/>
          <w:szCs w:val="24"/>
        </w:rPr>
      </w:pPr>
    </w:p>
    <w:p w14:paraId="5DA3AF77" w14:textId="77777777" w:rsidR="008028A9" w:rsidRDefault="00000000"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t>Il nostro consulente legale nazionale, Prof. Avv. Alberto Pizzoferrato, ha evidenziato come né il codice assegnato dall’INPS (65.20.00), né quello proposto da alcuni consulenti (66.22-00 – Attività di agenti e broker di assicurazione), siano effettivamente risolutivi. Entrambi rientrano infatti nella Sezione K della classificazione NACE, che l’INPS assume come riferimento per escludere tali attività dal perimetro della Decontribuzione Sud e degli altri benefici similari.</w:t>
      </w:r>
    </w:p>
    <w:p w14:paraId="6556CFC4" w14:textId="77777777" w:rsidR="001E57D5" w:rsidRPr="00F34C47" w:rsidRDefault="001E57D5" w:rsidP="00F34C47">
      <w:pPr>
        <w:spacing w:after="0"/>
        <w:jc w:val="both"/>
        <w:rPr>
          <w:rFonts w:asciiTheme="majorHAnsi" w:hAnsiTheme="majorHAnsi" w:cstheme="majorHAnsi"/>
          <w:sz w:val="24"/>
          <w:szCs w:val="24"/>
        </w:rPr>
      </w:pPr>
    </w:p>
    <w:p w14:paraId="6B8F539A" w14:textId="77777777" w:rsidR="008028A9" w:rsidRDefault="00000000"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t>Questo conferma che la problematica legata alla restituzione dei benefici contributivi non può essere risolta con una semplice correzione anagrafica, ma necessita di un intervento politico e normativo che riconosca la specificità della nostra attività professionale.</w:t>
      </w:r>
    </w:p>
    <w:p w14:paraId="587D40A8" w14:textId="77777777" w:rsidR="001E57D5" w:rsidRPr="00F34C47" w:rsidRDefault="001E57D5" w:rsidP="00F34C47">
      <w:pPr>
        <w:spacing w:after="0"/>
        <w:jc w:val="both"/>
        <w:rPr>
          <w:rFonts w:asciiTheme="majorHAnsi" w:hAnsiTheme="majorHAnsi" w:cstheme="majorHAnsi"/>
          <w:sz w:val="24"/>
          <w:szCs w:val="24"/>
        </w:rPr>
      </w:pPr>
    </w:p>
    <w:p w14:paraId="74871FF2" w14:textId="77777777" w:rsidR="008028A9" w:rsidRDefault="00000000"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t xml:space="preserve">Nel frattempo, il nostro consulente fiscale nazionale, Dott. Davide Giuliano, consiglia ai colleghi che abbiano ricevuto tale PEC da parte dell’INPS di rivolgersi al proprio consulente fiscale o del lavoro, al fine di </w:t>
      </w:r>
      <w:r w:rsidRPr="00F34C47">
        <w:rPr>
          <w:rFonts w:asciiTheme="majorHAnsi" w:hAnsiTheme="majorHAnsi" w:cstheme="majorHAnsi"/>
          <w:b/>
          <w:bCs/>
          <w:sz w:val="24"/>
          <w:szCs w:val="24"/>
        </w:rPr>
        <w:t>inviare entro i 30 giorni previsti una risposta formale contestando l’errata attribuzione del codice ATECO</w:t>
      </w:r>
      <w:r w:rsidRPr="00F34C47">
        <w:rPr>
          <w:rFonts w:asciiTheme="majorHAnsi" w:hAnsiTheme="majorHAnsi" w:cstheme="majorHAnsi"/>
          <w:sz w:val="24"/>
          <w:szCs w:val="24"/>
        </w:rPr>
        <w:t xml:space="preserve"> e richiedendo, laddove possibile, la riassegnazione del codice finora adottato (66.22.00 – attività di agenti e intermediari assicurativi).</w:t>
      </w:r>
    </w:p>
    <w:p w14:paraId="509BFD9F" w14:textId="77777777" w:rsidR="001E57D5" w:rsidRPr="00F34C47" w:rsidRDefault="001E57D5" w:rsidP="00F34C47">
      <w:pPr>
        <w:spacing w:after="0"/>
        <w:jc w:val="both"/>
        <w:rPr>
          <w:rFonts w:asciiTheme="majorHAnsi" w:hAnsiTheme="majorHAnsi" w:cstheme="majorHAnsi"/>
          <w:sz w:val="24"/>
          <w:szCs w:val="24"/>
        </w:rPr>
      </w:pPr>
    </w:p>
    <w:p w14:paraId="7EE1816B" w14:textId="77777777" w:rsidR="008028A9" w:rsidRDefault="00000000"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t>Pur essendo anch’esso incluso nella Sezione K, al momento non esiste un codice ATECO specifico e distinto per la figura dell’agente di assicurazione, e pertanto questa rappresenta l’unica strada percorribile.</w:t>
      </w:r>
    </w:p>
    <w:p w14:paraId="21337A70" w14:textId="77777777" w:rsidR="001E57D5" w:rsidRPr="00F34C47" w:rsidRDefault="001E57D5" w:rsidP="00F34C47">
      <w:pPr>
        <w:spacing w:after="0"/>
        <w:jc w:val="both"/>
        <w:rPr>
          <w:rFonts w:asciiTheme="majorHAnsi" w:hAnsiTheme="majorHAnsi" w:cstheme="majorHAnsi"/>
          <w:sz w:val="24"/>
          <w:szCs w:val="24"/>
        </w:rPr>
      </w:pPr>
    </w:p>
    <w:p w14:paraId="2C2EE57A" w14:textId="77777777" w:rsidR="008028A9" w:rsidRDefault="00000000"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t>Essendo ancora una fase interlocutoria, non siamo in grado di prevedere quale sarà l’effettiva risposta da parte dell’Istituto. Per questo motivo, invitiamo tutti coloro che riceveranno un riscontro da parte dell’INPS a darcene tempestiva comunicazione, al fine di monitorare l’evolversi della situazione e valutare eventuali azioni coordinate.</w:t>
      </w:r>
    </w:p>
    <w:p w14:paraId="6FC1BB00" w14:textId="77777777" w:rsidR="001E57D5" w:rsidRPr="00F34C47" w:rsidRDefault="001E57D5" w:rsidP="00F34C47">
      <w:pPr>
        <w:spacing w:after="0"/>
        <w:jc w:val="both"/>
        <w:rPr>
          <w:rFonts w:asciiTheme="majorHAnsi" w:hAnsiTheme="majorHAnsi" w:cstheme="majorHAnsi"/>
          <w:sz w:val="24"/>
          <w:szCs w:val="24"/>
        </w:rPr>
      </w:pPr>
    </w:p>
    <w:p w14:paraId="32F631D9" w14:textId="3AF5EDC7" w:rsidR="008028A9" w:rsidRDefault="001A6820" w:rsidP="00F34C47">
      <w:pPr>
        <w:spacing w:after="0"/>
        <w:jc w:val="both"/>
        <w:rPr>
          <w:rFonts w:asciiTheme="majorHAnsi" w:hAnsiTheme="majorHAnsi" w:cstheme="majorHAnsi"/>
          <w:sz w:val="24"/>
          <w:szCs w:val="24"/>
        </w:rPr>
      </w:pPr>
      <w:r w:rsidRPr="00F34C47">
        <w:rPr>
          <w:rFonts w:asciiTheme="majorHAnsi" w:hAnsiTheme="majorHAnsi" w:cstheme="majorHAnsi"/>
          <w:sz w:val="24"/>
          <w:szCs w:val="24"/>
        </w:rPr>
        <w:t>Con l’auspicio di avervi fornito un servizio utile Vi porgiamo cordiali saluti,</w:t>
      </w:r>
    </w:p>
    <w:p w14:paraId="28A20815" w14:textId="77777777" w:rsidR="001E57D5" w:rsidRPr="00F34C47" w:rsidRDefault="001E57D5" w:rsidP="00F34C47">
      <w:pPr>
        <w:spacing w:after="0"/>
        <w:jc w:val="both"/>
        <w:rPr>
          <w:rFonts w:asciiTheme="majorHAnsi" w:hAnsiTheme="majorHAnsi" w:cstheme="majorHAnsi"/>
          <w:sz w:val="24"/>
          <w:szCs w:val="24"/>
        </w:rPr>
      </w:pPr>
    </w:p>
    <w:p w14:paraId="29E3229B" w14:textId="77777777" w:rsidR="008028A9" w:rsidRPr="00F34C47" w:rsidRDefault="00000000" w:rsidP="00F34C47">
      <w:pPr>
        <w:spacing w:after="0"/>
        <w:jc w:val="both"/>
        <w:rPr>
          <w:rFonts w:asciiTheme="majorHAnsi" w:hAnsiTheme="majorHAnsi" w:cstheme="majorHAnsi"/>
          <w:b/>
          <w:bCs/>
          <w:i/>
          <w:iCs/>
          <w:sz w:val="24"/>
          <w:szCs w:val="24"/>
        </w:rPr>
      </w:pPr>
      <w:r w:rsidRPr="00F34C47">
        <w:rPr>
          <w:rFonts w:asciiTheme="majorHAnsi" w:hAnsiTheme="majorHAnsi" w:cstheme="majorHAnsi"/>
          <w:b/>
          <w:bCs/>
          <w:i/>
          <w:iCs/>
          <w:sz w:val="24"/>
          <w:szCs w:val="24"/>
        </w:rPr>
        <w:t>ANAPA Rete ImpresAgenzia</w:t>
      </w:r>
    </w:p>
    <w:p w14:paraId="09B366CF" w14:textId="6814EB21" w:rsidR="008028A9" w:rsidRPr="00F34C47" w:rsidRDefault="008028A9" w:rsidP="00F34C47">
      <w:pPr>
        <w:jc w:val="both"/>
        <w:rPr>
          <w:rFonts w:asciiTheme="majorHAnsi" w:hAnsiTheme="majorHAnsi" w:cstheme="majorHAnsi"/>
          <w:sz w:val="24"/>
          <w:szCs w:val="24"/>
        </w:rPr>
      </w:pPr>
    </w:p>
    <w:sectPr w:rsidR="008028A9" w:rsidRPr="00F34C47" w:rsidSect="00992B23">
      <w:headerReference w:type="default" r:id="rId8"/>
      <w:footerReference w:type="default" r:id="rId9"/>
      <w:pgSz w:w="11900" w:h="16840"/>
      <w:pgMar w:top="1417" w:right="1134" w:bottom="1134" w:left="1134" w:header="454"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A352F" w14:textId="77777777" w:rsidR="000C3849" w:rsidRDefault="000C3849">
      <w:pPr>
        <w:spacing w:after="0" w:line="240" w:lineRule="auto"/>
      </w:pPr>
      <w:r>
        <w:separator/>
      </w:r>
    </w:p>
  </w:endnote>
  <w:endnote w:type="continuationSeparator" w:id="0">
    <w:p w14:paraId="5B5E9C45" w14:textId="77777777" w:rsidR="000C3849" w:rsidRDefault="000C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078E" w14:textId="77777777" w:rsidR="008F56C5" w:rsidRDefault="00B47B89" w:rsidP="00F77A03">
    <w:pPr>
      <w:pStyle w:val="Pidipagina"/>
      <w:tabs>
        <w:tab w:val="clear" w:pos="9638"/>
        <w:tab w:val="left" w:pos="8364"/>
      </w:tabs>
      <w:jc w:val="center"/>
    </w:pPr>
    <w:r>
      <w:rPr>
        <w:noProof/>
      </w:rPr>
      <w:drawing>
        <wp:inline distT="0" distB="0" distL="0" distR="0" wp14:anchorId="453F7658" wp14:editId="2EABF9B8">
          <wp:extent cx="6116320" cy="610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16320" cy="610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BB8C7" w14:textId="77777777" w:rsidR="000C3849" w:rsidRDefault="000C3849">
      <w:pPr>
        <w:spacing w:after="0" w:line="240" w:lineRule="auto"/>
      </w:pPr>
      <w:r>
        <w:separator/>
      </w:r>
    </w:p>
  </w:footnote>
  <w:footnote w:type="continuationSeparator" w:id="0">
    <w:p w14:paraId="33250C86" w14:textId="77777777" w:rsidR="000C3849" w:rsidRDefault="000C3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BE1B" w14:textId="77777777" w:rsidR="008F56C5" w:rsidRDefault="00557C23">
    <w:pPr>
      <w:pStyle w:val="Intestazione"/>
      <w:tabs>
        <w:tab w:val="clear" w:pos="9638"/>
        <w:tab w:val="right" w:pos="9612"/>
      </w:tabs>
    </w:pPr>
    <w:r>
      <w:rPr>
        <w:noProof/>
      </w:rPr>
      <w:drawing>
        <wp:inline distT="0" distB="0" distL="0" distR="0" wp14:anchorId="402AB1B1" wp14:editId="40EFA952">
          <wp:extent cx="1724400" cy="853200"/>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napa.png"/>
                  <pic:cNvPicPr/>
                </pic:nvPicPr>
                <pic:blipFill>
                  <a:blip r:embed="rId1">
                    <a:extLst>
                      <a:ext uri="{28A0092B-C50C-407E-A947-70E740481C1C}">
                        <a14:useLocalDpi xmlns:a14="http://schemas.microsoft.com/office/drawing/2010/main" val="0"/>
                      </a:ext>
                    </a:extLst>
                  </a:blip>
                  <a:stretch>
                    <a:fillRect/>
                  </a:stretch>
                </pic:blipFill>
                <pic:spPr>
                  <a:xfrm>
                    <a:off x="0" y="0"/>
                    <a:ext cx="1724400" cy="853200"/>
                  </a:xfrm>
                  <a:prstGeom prst="rect">
                    <a:avLst/>
                  </a:prstGeom>
                </pic:spPr>
              </pic:pic>
            </a:graphicData>
          </a:graphic>
        </wp:inline>
      </w:drawing>
    </w:r>
    <w:r w:rsidR="004C76E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A1864"/>
    <w:multiLevelType w:val="multilevel"/>
    <w:tmpl w:val="E9A4D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E0F9C"/>
    <w:multiLevelType w:val="hybridMultilevel"/>
    <w:tmpl w:val="13E21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421B5F"/>
    <w:multiLevelType w:val="multilevel"/>
    <w:tmpl w:val="89A0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77D32"/>
    <w:multiLevelType w:val="multilevel"/>
    <w:tmpl w:val="98CEC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5C6788"/>
    <w:multiLevelType w:val="multilevel"/>
    <w:tmpl w:val="10C80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4631BB3"/>
    <w:multiLevelType w:val="multilevel"/>
    <w:tmpl w:val="B394C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4C07436"/>
    <w:multiLevelType w:val="multilevel"/>
    <w:tmpl w:val="04DA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F7B8B"/>
    <w:multiLevelType w:val="multilevel"/>
    <w:tmpl w:val="AD2C0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316273"/>
    <w:multiLevelType w:val="hybridMultilevel"/>
    <w:tmpl w:val="43125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9A70DD"/>
    <w:multiLevelType w:val="multilevel"/>
    <w:tmpl w:val="3DE04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5590253">
    <w:abstractNumId w:val="1"/>
  </w:num>
  <w:num w:numId="2" w16cid:durableId="206337563">
    <w:abstractNumId w:val="6"/>
  </w:num>
  <w:num w:numId="3" w16cid:durableId="751239183">
    <w:abstractNumId w:val="2"/>
  </w:num>
  <w:num w:numId="4" w16cid:durableId="1216628402">
    <w:abstractNumId w:val="8"/>
  </w:num>
  <w:num w:numId="5" w16cid:durableId="292055042">
    <w:abstractNumId w:val="0"/>
  </w:num>
  <w:num w:numId="6" w16cid:durableId="1988317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9763913">
    <w:abstractNumId w:val="7"/>
  </w:num>
  <w:num w:numId="8" w16cid:durableId="1830435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6601499">
    <w:abstractNumId w:val="9"/>
  </w:num>
  <w:num w:numId="10" w16cid:durableId="1859463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C5"/>
    <w:rsid w:val="00014BE9"/>
    <w:rsid w:val="00024AF7"/>
    <w:rsid w:val="00044652"/>
    <w:rsid w:val="00046645"/>
    <w:rsid w:val="000579D3"/>
    <w:rsid w:val="00057EA7"/>
    <w:rsid w:val="00071A46"/>
    <w:rsid w:val="000903DB"/>
    <w:rsid w:val="000B43EE"/>
    <w:rsid w:val="000C3849"/>
    <w:rsid w:val="000D1EA3"/>
    <w:rsid w:val="000F2A9E"/>
    <w:rsid w:val="0012414A"/>
    <w:rsid w:val="00132D60"/>
    <w:rsid w:val="00155366"/>
    <w:rsid w:val="00174427"/>
    <w:rsid w:val="001834C3"/>
    <w:rsid w:val="001905BA"/>
    <w:rsid w:val="001A6820"/>
    <w:rsid w:val="001C7101"/>
    <w:rsid w:val="001E57D5"/>
    <w:rsid w:val="00204AF6"/>
    <w:rsid w:val="00214420"/>
    <w:rsid w:val="00223DA7"/>
    <w:rsid w:val="002363BB"/>
    <w:rsid w:val="00241ECC"/>
    <w:rsid w:val="002435EA"/>
    <w:rsid w:val="00243923"/>
    <w:rsid w:val="00244AE5"/>
    <w:rsid w:val="00273885"/>
    <w:rsid w:val="00285D8F"/>
    <w:rsid w:val="002B1624"/>
    <w:rsid w:val="002B25B3"/>
    <w:rsid w:val="002B2B82"/>
    <w:rsid w:val="002D2E99"/>
    <w:rsid w:val="002D4FC0"/>
    <w:rsid w:val="002E58A7"/>
    <w:rsid w:val="00304936"/>
    <w:rsid w:val="00335AF1"/>
    <w:rsid w:val="00341DF8"/>
    <w:rsid w:val="003444FF"/>
    <w:rsid w:val="003562C9"/>
    <w:rsid w:val="00357B64"/>
    <w:rsid w:val="00367BD2"/>
    <w:rsid w:val="00374E92"/>
    <w:rsid w:val="003B5A56"/>
    <w:rsid w:val="003C19C2"/>
    <w:rsid w:val="003E097D"/>
    <w:rsid w:val="00451C32"/>
    <w:rsid w:val="004855D3"/>
    <w:rsid w:val="00491191"/>
    <w:rsid w:val="004912CF"/>
    <w:rsid w:val="00494895"/>
    <w:rsid w:val="004C5869"/>
    <w:rsid w:val="004C76ED"/>
    <w:rsid w:val="004D26DE"/>
    <w:rsid w:val="004D55A0"/>
    <w:rsid w:val="00515928"/>
    <w:rsid w:val="00523DCA"/>
    <w:rsid w:val="005254F6"/>
    <w:rsid w:val="00533B2E"/>
    <w:rsid w:val="00557C23"/>
    <w:rsid w:val="0056197A"/>
    <w:rsid w:val="005619EF"/>
    <w:rsid w:val="00561EBC"/>
    <w:rsid w:val="00570CC2"/>
    <w:rsid w:val="00580F27"/>
    <w:rsid w:val="00582208"/>
    <w:rsid w:val="00582A71"/>
    <w:rsid w:val="00584690"/>
    <w:rsid w:val="005939E6"/>
    <w:rsid w:val="00594428"/>
    <w:rsid w:val="00597385"/>
    <w:rsid w:val="005A22CB"/>
    <w:rsid w:val="005B34DE"/>
    <w:rsid w:val="005C6678"/>
    <w:rsid w:val="005D639D"/>
    <w:rsid w:val="0060558D"/>
    <w:rsid w:val="00614491"/>
    <w:rsid w:val="0062607F"/>
    <w:rsid w:val="00634A29"/>
    <w:rsid w:val="00636990"/>
    <w:rsid w:val="00640E53"/>
    <w:rsid w:val="006C6AA5"/>
    <w:rsid w:val="006D193E"/>
    <w:rsid w:val="006E1815"/>
    <w:rsid w:val="006E2E52"/>
    <w:rsid w:val="006F0060"/>
    <w:rsid w:val="00733682"/>
    <w:rsid w:val="00755045"/>
    <w:rsid w:val="007754BB"/>
    <w:rsid w:val="007C26AC"/>
    <w:rsid w:val="007E5353"/>
    <w:rsid w:val="008028A9"/>
    <w:rsid w:val="008140F9"/>
    <w:rsid w:val="008274C8"/>
    <w:rsid w:val="008274EF"/>
    <w:rsid w:val="008519F3"/>
    <w:rsid w:val="00864C57"/>
    <w:rsid w:val="00864E37"/>
    <w:rsid w:val="008673CE"/>
    <w:rsid w:val="0086754F"/>
    <w:rsid w:val="00873CE7"/>
    <w:rsid w:val="00883346"/>
    <w:rsid w:val="00884AC1"/>
    <w:rsid w:val="008934C4"/>
    <w:rsid w:val="008A529C"/>
    <w:rsid w:val="008B019D"/>
    <w:rsid w:val="008B2E55"/>
    <w:rsid w:val="008B46AD"/>
    <w:rsid w:val="008C55FA"/>
    <w:rsid w:val="008F56C5"/>
    <w:rsid w:val="00944442"/>
    <w:rsid w:val="009543FB"/>
    <w:rsid w:val="00992B23"/>
    <w:rsid w:val="009B59FB"/>
    <w:rsid w:val="009C230D"/>
    <w:rsid w:val="009E4998"/>
    <w:rsid w:val="009F543D"/>
    <w:rsid w:val="00A019BA"/>
    <w:rsid w:val="00A32E6D"/>
    <w:rsid w:val="00A65794"/>
    <w:rsid w:val="00A71631"/>
    <w:rsid w:val="00AA0F42"/>
    <w:rsid w:val="00AA2E3F"/>
    <w:rsid w:val="00AB7B18"/>
    <w:rsid w:val="00AC6A64"/>
    <w:rsid w:val="00B47B89"/>
    <w:rsid w:val="00BE1E3C"/>
    <w:rsid w:val="00BF5852"/>
    <w:rsid w:val="00C00836"/>
    <w:rsid w:val="00C32EB2"/>
    <w:rsid w:val="00C553F5"/>
    <w:rsid w:val="00C61356"/>
    <w:rsid w:val="00C84B43"/>
    <w:rsid w:val="00C94C6D"/>
    <w:rsid w:val="00CA6714"/>
    <w:rsid w:val="00CB1899"/>
    <w:rsid w:val="00CC2E4E"/>
    <w:rsid w:val="00CF4F92"/>
    <w:rsid w:val="00CF5FA8"/>
    <w:rsid w:val="00D032F5"/>
    <w:rsid w:val="00D0530C"/>
    <w:rsid w:val="00D36780"/>
    <w:rsid w:val="00D45B71"/>
    <w:rsid w:val="00D67CF5"/>
    <w:rsid w:val="00D810E8"/>
    <w:rsid w:val="00D858C5"/>
    <w:rsid w:val="00DA32DF"/>
    <w:rsid w:val="00DA5778"/>
    <w:rsid w:val="00DD5753"/>
    <w:rsid w:val="00E67098"/>
    <w:rsid w:val="00E7069E"/>
    <w:rsid w:val="00E7277A"/>
    <w:rsid w:val="00E87581"/>
    <w:rsid w:val="00E9217B"/>
    <w:rsid w:val="00EA5947"/>
    <w:rsid w:val="00EB5BBE"/>
    <w:rsid w:val="00EC5E66"/>
    <w:rsid w:val="00ED2820"/>
    <w:rsid w:val="00ED71C6"/>
    <w:rsid w:val="00F34C47"/>
    <w:rsid w:val="00F444CC"/>
    <w:rsid w:val="00F52FDA"/>
    <w:rsid w:val="00F67E0E"/>
    <w:rsid w:val="00F77A03"/>
    <w:rsid w:val="00FB4EB2"/>
    <w:rsid w:val="00FF6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F3D45"/>
  <w15:docId w15:val="{6DBCA288-44D6-4140-A8DD-5DE20B03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paragraph" w:styleId="Titolo3">
    <w:name w:val="heading 3"/>
    <w:basedOn w:val="Normale"/>
    <w:link w:val="Titolo3Carattere"/>
    <w:uiPriority w:val="9"/>
    <w:qFormat/>
    <w:rsid w:val="008A52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200" w:line="276" w:lineRule="auto"/>
    </w:pPr>
    <w:rPr>
      <w:rFonts w:ascii="Calibri" w:eastAsia="Calibri" w:hAnsi="Calibri" w:cs="Calibri"/>
      <w:color w:val="000000"/>
      <w:sz w:val="22"/>
      <w:szCs w:val="22"/>
      <w:u w:color="000000"/>
    </w:rPr>
  </w:style>
  <w:style w:type="paragraph" w:styleId="Pidipagina">
    <w:name w:val="footer"/>
    <w:pPr>
      <w:tabs>
        <w:tab w:val="center" w:pos="4819"/>
        <w:tab w:val="right" w:pos="9638"/>
      </w:tabs>
      <w:spacing w:after="200" w:line="276" w:lineRule="auto"/>
    </w:pPr>
    <w:rPr>
      <w:rFonts w:ascii="Calibri" w:eastAsia="Calibri" w:hAnsi="Calibri" w:cs="Calibri"/>
      <w:color w:val="000000"/>
      <w:sz w:val="22"/>
      <w:szCs w:val="22"/>
      <w:u w:color="000000"/>
    </w:rPr>
  </w:style>
  <w:style w:type="paragraph" w:styleId="Testofumetto">
    <w:name w:val="Balloon Text"/>
    <w:basedOn w:val="Normale"/>
    <w:link w:val="TestofumettoCarattere"/>
    <w:uiPriority w:val="99"/>
    <w:semiHidden/>
    <w:unhideWhenUsed/>
    <w:rsid w:val="00D032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32F5"/>
    <w:rPr>
      <w:rFonts w:ascii="Segoe UI" w:eastAsia="Calibri" w:hAnsi="Segoe UI" w:cs="Segoe UI"/>
      <w:color w:val="000000"/>
      <w:sz w:val="18"/>
      <w:szCs w:val="18"/>
      <w:u w:color="000000"/>
    </w:rPr>
  </w:style>
  <w:style w:type="paragraph" w:styleId="NormaleWeb">
    <w:name w:val="Normal (Web)"/>
    <w:basedOn w:val="Normale"/>
    <w:uiPriority w:val="99"/>
    <w:unhideWhenUsed/>
    <w:rsid w:val="006F00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Titolo3Carattere">
    <w:name w:val="Titolo 3 Carattere"/>
    <w:basedOn w:val="Carpredefinitoparagrafo"/>
    <w:link w:val="Titolo3"/>
    <w:uiPriority w:val="9"/>
    <w:rsid w:val="008A529C"/>
    <w:rPr>
      <w:rFonts w:eastAsia="Times New Roman"/>
      <w:b/>
      <w:bCs/>
      <w:sz w:val="27"/>
      <w:szCs w:val="27"/>
      <w:bdr w:val="none" w:sz="0" w:space="0" w:color="auto"/>
    </w:rPr>
  </w:style>
  <w:style w:type="character" w:styleId="Enfasigrassetto">
    <w:name w:val="Strong"/>
    <w:basedOn w:val="Carpredefinitoparagrafo"/>
    <w:uiPriority w:val="22"/>
    <w:qFormat/>
    <w:rsid w:val="008A529C"/>
    <w:rPr>
      <w:b/>
      <w:bCs/>
    </w:rPr>
  </w:style>
  <w:style w:type="character" w:styleId="Collegamentovisitato">
    <w:name w:val="FollowedHyperlink"/>
    <w:basedOn w:val="Carpredefinitoparagrafo"/>
    <w:uiPriority w:val="99"/>
    <w:semiHidden/>
    <w:unhideWhenUsed/>
    <w:rsid w:val="008A529C"/>
    <w:rPr>
      <w:color w:val="FF00FF" w:themeColor="followedHyperlink"/>
      <w:u w:val="single"/>
    </w:rPr>
  </w:style>
  <w:style w:type="character" w:styleId="Menzionenonrisolta">
    <w:name w:val="Unresolved Mention"/>
    <w:basedOn w:val="Carpredefinitoparagrafo"/>
    <w:uiPriority w:val="99"/>
    <w:semiHidden/>
    <w:unhideWhenUsed/>
    <w:rsid w:val="008A529C"/>
    <w:rPr>
      <w:color w:val="605E5C"/>
      <w:shd w:val="clear" w:color="auto" w:fill="E1DFDD"/>
    </w:rPr>
  </w:style>
  <w:style w:type="paragraph" w:styleId="Revisione">
    <w:name w:val="Revision"/>
    <w:hidden/>
    <w:uiPriority w:val="99"/>
    <w:semiHidden/>
    <w:rsid w:val="008274C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30751">
      <w:bodyDiv w:val="1"/>
      <w:marLeft w:val="0"/>
      <w:marRight w:val="0"/>
      <w:marTop w:val="0"/>
      <w:marBottom w:val="0"/>
      <w:divBdr>
        <w:top w:val="none" w:sz="0" w:space="0" w:color="auto"/>
        <w:left w:val="none" w:sz="0" w:space="0" w:color="auto"/>
        <w:bottom w:val="none" w:sz="0" w:space="0" w:color="auto"/>
        <w:right w:val="none" w:sz="0" w:space="0" w:color="auto"/>
      </w:divBdr>
    </w:div>
    <w:div w:id="1598173450">
      <w:bodyDiv w:val="1"/>
      <w:marLeft w:val="0"/>
      <w:marRight w:val="0"/>
      <w:marTop w:val="0"/>
      <w:marBottom w:val="0"/>
      <w:divBdr>
        <w:top w:val="none" w:sz="0" w:space="0" w:color="auto"/>
        <w:left w:val="none" w:sz="0" w:space="0" w:color="auto"/>
        <w:bottom w:val="none" w:sz="0" w:space="0" w:color="auto"/>
        <w:right w:val="none" w:sz="0" w:space="0" w:color="auto"/>
      </w:divBdr>
    </w:div>
    <w:div w:id="2075812208">
      <w:bodyDiv w:val="1"/>
      <w:marLeft w:val="0"/>
      <w:marRight w:val="0"/>
      <w:marTop w:val="0"/>
      <w:marBottom w:val="0"/>
      <w:divBdr>
        <w:top w:val="none" w:sz="0" w:space="0" w:color="auto"/>
        <w:left w:val="none" w:sz="0" w:space="0" w:color="auto"/>
        <w:bottom w:val="none" w:sz="0" w:space="0" w:color="auto"/>
        <w:right w:val="none" w:sz="0" w:space="0" w:color="auto"/>
      </w:divBdr>
      <w:divsChild>
        <w:div w:id="1103188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C884F-DB59-427A-B30D-2A82D7B7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632</Words>
  <Characters>3609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Giorgia</dc:creator>
  <cp:lastModifiedBy>Giorgia Martinez</cp:lastModifiedBy>
  <cp:revision>7</cp:revision>
  <cp:lastPrinted>2025-07-31T09:38:00Z</cp:lastPrinted>
  <dcterms:created xsi:type="dcterms:W3CDTF">2025-07-31T08:13:00Z</dcterms:created>
  <dcterms:modified xsi:type="dcterms:W3CDTF">2025-07-31T10:55:00Z</dcterms:modified>
</cp:coreProperties>
</file>